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63B5" w:rsidRPr="009C0B7B" w:rsidRDefault="00BD63B5" w:rsidP="00BD63B5">
      <w:pPr>
        <w:jc w:val="center"/>
        <w:rPr>
          <w:rFonts w:ascii="Times New Roman" w:hAnsi="Times New Roman" w:cs="Times New Roman"/>
          <w:b/>
          <w:bCs/>
          <w:szCs w:val="24"/>
        </w:rPr>
      </w:pPr>
      <w:r w:rsidRPr="009C0B7B">
        <w:rPr>
          <w:rFonts w:ascii="Times New Roman" w:hAnsi="Times New Roman" w:cs="Times New Roman"/>
          <w:b/>
          <w:bCs/>
          <w:szCs w:val="24"/>
        </w:rPr>
        <w:t>B.COM</w:t>
      </w:r>
    </w:p>
    <w:p w:rsidR="00BD63B5" w:rsidRPr="009C0B7B" w:rsidRDefault="00677589" w:rsidP="00BD63B5">
      <w:pPr>
        <w:jc w:val="center"/>
        <w:rPr>
          <w:rFonts w:ascii="Times New Roman" w:hAnsi="Times New Roman" w:cs="Times New Roman"/>
          <w:b/>
          <w:bCs/>
          <w:szCs w:val="24"/>
        </w:rPr>
      </w:pPr>
      <w:r>
        <w:rPr>
          <w:rFonts w:ascii="Times New Roman" w:hAnsi="Times New Roman" w:cs="Times New Roman"/>
          <w:b/>
          <w:bCs/>
          <w:szCs w:val="24"/>
        </w:rPr>
        <w:t>SEMESTER I</w:t>
      </w:r>
    </w:p>
    <w:p w:rsidR="00BD63B5" w:rsidRPr="009C0B7B" w:rsidRDefault="000143C5" w:rsidP="00BD63B5">
      <w:pPr>
        <w:jc w:val="center"/>
        <w:rPr>
          <w:rFonts w:ascii="Times New Roman" w:hAnsi="Times New Roman" w:cs="Times New Roman"/>
          <w:b/>
          <w:bCs/>
          <w:szCs w:val="24"/>
        </w:rPr>
      </w:pPr>
      <w:r>
        <w:rPr>
          <w:rFonts w:ascii="Times New Roman" w:hAnsi="Times New Roman" w:cs="Times New Roman"/>
          <w:b/>
          <w:bCs/>
          <w:szCs w:val="24"/>
        </w:rPr>
        <w:t xml:space="preserve">Financial Accounting </w:t>
      </w:r>
      <w:r w:rsidR="00BD63B5" w:rsidRPr="009C0B7B">
        <w:rPr>
          <w:rFonts w:ascii="Times New Roman" w:hAnsi="Times New Roman" w:cs="Times New Roman"/>
          <w:b/>
          <w:bCs/>
          <w:szCs w:val="24"/>
        </w:rPr>
        <w:t>(CC</w:t>
      </w:r>
      <w:r w:rsidR="00621AD9">
        <w:rPr>
          <w:rFonts w:ascii="Times New Roman" w:hAnsi="Times New Roman" w:cs="Times New Roman"/>
          <w:b/>
          <w:bCs/>
          <w:szCs w:val="24"/>
        </w:rPr>
        <w:t xml:space="preserve"> 2</w:t>
      </w:r>
      <w:r w:rsidR="00BD63B5" w:rsidRPr="009C0B7B">
        <w:rPr>
          <w:rFonts w:ascii="Times New Roman" w:hAnsi="Times New Roman" w:cs="Times New Roman"/>
          <w:b/>
          <w:bCs/>
          <w:szCs w:val="24"/>
        </w:rPr>
        <w:t>)</w:t>
      </w:r>
    </w:p>
    <w:p w:rsidR="00BD63B5" w:rsidRPr="009C0B7B" w:rsidRDefault="00BD63B5" w:rsidP="00BD63B5">
      <w:pPr>
        <w:pStyle w:val="Default"/>
        <w:jc w:val="center"/>
        <w:rPr>
          <w:rFonts w:ascii="Times New Roman" w:hAnsi="Times New Roman" w:cs="Times New Roman"/>
          <w:b/>
          <w:bCs/>
        </w:rPr>
      </w:pPr>
      <w:r w:rsidRPr="009C0B7B">
        <w:rPr>
          <w:rFonts w:ascii="Times New Roman" w:hAnsi="Times New Roman" w:cs="Times New Roman"/>
          <w:b/>
          <w:bCs/>
        </w:rPr>
        <w:t>(100 Marks – 60 Lectures)</w:t>
      </w:r>
    </w:p>
    <w:p w:rsidR="001070AC" w:rsidRDefault="001070AC" w:rsidP="00EA6C26">
      <w:pPr>
        <w:rPr>
          <w:rFonts w:ascii="Times New Roman" w:hAnsi="Times New Roman"/>
          <w:b/>
          <w:szCs w:val="24"/>
        </w:rPr>
      </w:pPr>
    </w:p>
    <w:p w:rsidR="00EA6C26" w:rsidRPr="00BD63B5" w:rsidRDefault="00EA6C26" w:rsidP="00787CC3">
      <w:pPr>
        <w:jc w:val="both"/>
        <w:rPr>
          <w:rFonts w:ascii="Times New Roman" w:hAnsi="Times New Roman"/>
          <w:b/>
          <w:szCs w:val="24"/>
        </w:rPr>
      </w:pPr>
      <w:r w:rsidRPr="00BD63B5">
        <w:rPr>
          <w:rFonts w:ascii="Times New Roman" w:hAnsi="Times New Roman"/>
          <w:b/>
          <w:szCs w:val="24"/>
        </w:rPr>
        <w:t>Objective</w:t>
      </w:r>
      <w:r w:rsidR="00BD63B5" w:rsidRPr="00BD63B5">
        <w:rPr>
          <w:rFonts w:ascii="Times New Roman" w:hAnsi="Times New Roman"/>
          <w:b/>
          <w:szCs w:val="24"/>
        </w:rPr>
        <w:t>s:</w:t>
      </w:r>
    </w:p>
    <w:p w:rsidR="001529B7" w:rsidRDefault="00FA7826" w:rsidP="00787CC3">
      <w:pPr>
        <w:pStyle w:val="ListParagraph"/>
        <w:numPr>
          <w:ilvl w:val="0"/>
          <w:numId w:val="5"/>
        </w:numPr>
        <w:jc w:val="both"/>
        <w:rPr>
          <w:rFonts w:ascii="Times New Roman" w:hAnsi="Times New Roman"/>
          <w:b/>
          <w:szCs w:val="24"/>
        </w:rPr>
      </w:pPr>
      <w:r w:rsidRPr="00BD63B5">
        <w:rPr>
          <w:rFonts w:ascii="Times New Roman" w:hAnsi="Times New Roman"/>
          <w:b/>
          <w:szCs w:val="24"/>
        </w:rPr>
        <w:t xml:space="preserve">To acquaint </w:t>
      </w:r>
      <w:r w:rsidR="000D38C8" w:rsidRPr="00BD63B5">
        <w:rPr>
          <w:rFonts w:ascii="Times New Roman" w:hAnsi="Times New Roman"/>
          <w:b/>
          <w:szCs w:val="24"/>
        </w:rPr>
        <w:t xml:space="preserve">the students </w:t>
      </w:r>
      <w:r w:rsidRPr="00BD63B5">
        <w:rPr>
          <w:rFonts w:ascii="Times New Roman" w:hAnsi="Times New Roman"/>
          <w:b/>
          <w:szCs w:val="24"/>
        </w:rPr>
        <w:t xml:space="preserve">on the practical aspects of </w:t>
      </w:r>
      <w:r w:rsidR="00254D2C">
        <w:rPr>
          <w:rFonts w:ascii="Times New Roman" w:hAnsi="Times New Roman"/>
          <w:b/>
          <w:szCs w:val="24"/>
        </w:rPr>
        <w:t xml:space="preserve">single entry and </w:t>
      </w:r>
      <w:r w:rsidRPr="00BD63B5">
        <w:rPr>
          <w:rFonts w:ascii="Times New Roman" w:hAnsi="Times New Roman"/>
          <w:b/>
          <w:szCs w:val="24"/>
        </w:rPr>
        <w:t xml:space="preserve">depreciation </w:t>
      </w:r>
      <w:r w:rsidR="00254D2C">
        <w:rPr>
          <w:rFonts w:ascii="Times New Roman" w:hAnsi="Times New Roman"/>
          <w:b/>
          <w:szCs w:val="24"/>
        </w:rPr>
        <w:t>accounting.</w:t>
      </w:r>
    </w:p>
    <w:p w:rsidR="00254D2C" w:rsidRPr="00BD63B5" w:rsidRDefault="00254D2C" w:rsidP="00787CC3">
      <w:pPr>
        <w:pStyle w:val="ListParagraph"/>
        <w:numPr>
          <w:ilvl w:val="0"/>
          <w:numId w:val="5"/>
        </w:numPr>
        <w:jc w:val="both"/>
        <w:rPr>
          <w:rFonts w:ascii="Times New Roman" w:hAnsi="Times New Roman"/>
          <w:b/>
          <w:szCs w:val="24"/>
        </w:rPr>
      </w:pPr>
      <w:r>
        <w:rPr>
          <w:rFonts w:ascii="Times New Roman" w:hAnsi="Times New Roman"/>
          <w:b/>
          <w:szCs w:val="24"/>
        </w:rPr>
        <w:t>To familiarize the students with advanced accounting procedures for equity and preference shares</w:t>
      </w:r>
    </w:p>
    <w:p w:rsidR="006B17D0" w:rsidRDefault="006B17D0" w:rsidP="00787CC3">
      <w:pPr>
        <w:jc w:val="both"/>
        <w:rPr>
          <w:rFonts w:ascii="Times New Roman" w:hAnsi="Times New Roman"/>
          <w:szCs w:val="24"/>
        </w:rPr>
      </w:pPr>
    </w:p>
    <w:p w:rsidR="00E406BA" w:rsidRPr="00BD63B5" w:rsidRDefault="00E406BA" w:rsidP="00787CC3">
      <w:pPr>
        <w:jc w:val="both"/>
        <w:rPr>
          <w:rFonts w:ascii="Times New Roman" w:hAnsi="Times New Roman"/>
          <w:b/>
          <w:szCs w:val="24"/>
        </w:rPr>
      </w:pPr>
      <w:r w:rsidRPr="00BD63B5">
        <w:rPr>
          <w:rFonts w:ascii="Times New Roman" w:hAnsi="Times New Roman"/>
          <w:b/>
          <w:szCs w:val="24"/>
        </w:rPr>
        <w:t>Unit I</w:t>
      </w:r>
      <w:r w:rsidR="000010A5">
        <w:rPr>
          <w:rFonts w:ascii="Times New Roman" w:hAnsi="Times New Roman"/>
          <w:b/>
          <w:szCs w:val="24"/>
        </w:rPr>
        <w:t xml:space="preserve"> </w:t>
      </w:r>
      <w:r w:rsidRPr="00BD63B5">
        <w:rPr>
          <w:rFonts w:ascii="Times New Roman" w:hAnsi="Times New Roman"/>
          <w:b/>
          <w:szCs w:val="24"/>
        </w:rPr>
        <w:t xml:space="preserve"> </w:t>
      </w:r>
      <w:r w:rsidRPr="00BD63B5">
        <w:rPr>
          <w:rFonts w:ascii="Times New Roman" w:hAnsi="Times New Roman"/>
          <w:b/>
          <w:bCs/>
          <w:szCs w:val="24"/>
        </w:rPr>
        <w:t xml:space="preserve">Single Entry </w:t>
      </w:r>
      <w:r w:rsidR="008B6070">
        <w:rPr>
          <w:rFonts w:ascii="Times New Roman" w:hAnsi="Times New Roman"/>
          <w:b/>
          <w:bCs/>
          <w:szCs w:val="24"/>
        </w:rPr>
        <w:tab/>
      </w:r>
      <w:r w:rsidR="008B6070">
        <w:rPr>
          <w:rFonts w:ascii="Times New Roman" w:hAnsi="Times New Roman"/>
          <w:b/>
          <w:bCs/>
          <w:szCs w:val="24"/>
        </w:rPr>
        <w:tab/>
      </w:r>
      <w:r w:rsidR="008B6070">
        <w:rPr>
          <w:rFonts w:ascii="Times New Roman" w:hAnsi="Times New Roman"/>
          <w:b/>
          <w:bCs/>
          <w:szCs w:val="24"/>
        </w:rPr>
        <w:tab/>
      </w:r>
      <w:r w:rsidR="008B6070">
        <w:rPr>
          <w:rFonts w:ascii="Times New Roman" w:hAnsi="Times New Roman"/>
          <w:b/>
          <w:bCs/>
          <w:szCs w:val="24"/>
        </w:rPr>
        <w:tab/>
      </w:r>
      <w:r w:rsidR="008B6070">
        <w:rPr>
          <w:rFonts w:ascii="Times New Roman" w:hAnsi="Times New Roman"/>
          <w:b/>
          <w:bCs/>
          <w:szCs w:val="24"/>
        </w:rPr>
        <w:tab/>
      </w:r>
      <w:r w:rsidR="008B6070">
        <w:rPr>
          <w:rFonts w:ascii="Times New Roman" w:hAnsi="Times New Roman"/>
          <w:b/>
          <w:bCs/>
          <w:szCs w:val="24"/>
        </w:rPr>
        <w:tab/>
        <w:t xml:space="preserve">        </w:t>
      </w:r>
      <w:r w:rsidR="004203DD">
        <w:rPr>
          <w:rFonts w:ascii="Times New Roman" w:hAnsi="Times New Roman"/>
          <w:b/>
          <w:bCs/>
          <w:szCs w:val="24"/>
        </w:rPr>
        <w:tab/>
        <w:t xml:space="preserve">    </w:t>
      </w:r>
      <w:r w:rsidR="00E035A3" w:rsidRPr="00BD63B5">
        <w:rPr>
          <w:rFonts w:ascii="Times New Roman" w:hAnsi="Times New Roman"/>
          <w:b/>
          <w:szCs w:val="24"/>
        </w:rPr>
        <w:t>(</w:t>
      </w:r>
      <w:r w:rsidR="008B6070">
        <w:rPr>
          <w:rFonts w:ascii="Times New Roman" w:hAnsi="Times New Roman"/>
          <w:b/>
          <w:szCs w:val="24"/>
        </w:rPr>
        <w:t>2</w:t>
      </w:r>
      <w:r w:rsidR="00E035A3" w:rsidRPr="00BD63B5">
        <w:rPr>
          <w:rFonts w:ascii="Times New Roman" w:hAnsi="Times New Roman"/>
          <w:b/>
          <w:szCs w:val="24"/>
        </w:rPr>
        <w:t xml:space="preserve">0 Marks – </w:t>
      </w:r>
      <w:r w:rsidR="008B6070">
        <w:rPr>
          <w:rFonts w:ascii="Times New Roman" w:hAnsi="Times New Roman"/>
          <w:b/>
          <w:szCs w:val="24"/>
        </w:rPr>
        <w:t>1</w:t>
      </w:r>
      <w:r w:rsidR="00CB1C4D">
        <w:rPr>
          <w:rFonts w:ascii="Times New Roman" w:hAnsi="Times New Roman"/>
          <w:b/>
          <w:szCs w:val="24"/>
        </w:rPr>
        <w:t>2</w:t>
      </w:r>
      <w:r w:rsidR="00E035A3" w:rsidRPr="00BD63B5">
        <w:rPr>
          <w:rFonts w:ascii="Times New Roman" w:hAnsi="Times New Roman"/>
          <w:b/>
          <w:szCs w:val="24"/>
        </w:rPr>
        <w:t xml:space="preserve"> </w:t>
      </w:r>
      <w:r w:rsidR="008B6070">
        <w:rPr>
          <w:rFonts w:ascii="Times New Roman" w:hAnsi="Times New Roman"/>
          <w:b/>
          <w:szCs w:val="24"/>
        </w:rPr>
        <w:t>Lectures</w:t>
      </w:r>
      <w:r w:rsidR="0051307D" w:rsidRPr="00BD63B5">
        <w:rPr>
          <w:rFonts w:ascii="Times New Roman" w:hAnsi="Times New Roman"/>
          <w:b/>
          <w:szCs w:val="24"/>
        </w:rPr>
        <w:t>)</w:t>
      </w:r>
    </w:p>
    <w:p w:rsidR="00693F20" w:rsidRDefault="00DB6E93" w:rsidP="00787CC3">
      <w:pPr>
        <w:ind w:left="720"/>
        <w:jc w:val="both"/>
        <w:rPr>
          <w:rFonts w:ascii="Times New Roman" w:hAnsi="Times New Roman"/>
          <w:szCs w:val="24"/>
        </w:rPr>
      </w:pPr>
      <w:r>
        <w:rPr>
          <w:rFonts w:ascii="Times New Roman" w:hAnsi="Times New Roman"/>
          <w:szCs w:val="24"/>
        </w:rPr>
        <w:t>Meaning, features, advantages, limitations, difference between single entry system and double</w:t>
      </w:r>
      <w:r w:rsidR="00EE1103">
        <w:rPr>
          <w:rFonts w:ascii="Times New Roman" w:hAnsi="Times New Roman"/>
          <w:szCs w:val="24"/>
        </w:rPr>
        <w:t xml:space="preserve"> entry</w:t>
      </w:r>
      <w:r w:rsidR="00893C81">
        <w:rPr>
          <w:rFonts w:ascii="Times New Roman" w:hAnsi="Times New Roman"/>
          <w:szCs w:val="24"/>
        </w:rPr>
        <w:t xml:space="preserve"> syste</w:t>
      </w:r>
      <w:r w:rsidR="007C09C4">
        <w:rPr>
          <w:rFonts w:ascii="Times New Roman" w:hAnsi="Times New Roman"/>
          <w:szCs w:val="24"/>
        </w:rPr>
        <w:t xml:space="preserve">m. </w:t>
      </w:r>
      <w:r w:rsidR="002D7D09">
        <w:rPr>
          <w:rFonts w:ascii="Times New Roman" w:hAnsi="Times New Roman"/>
          <w:szCs w:val="24"/>
        </w:rPr>
        <w:t xml:space="preserve">Computation of </w:t>
      </w:r>
      <w:r w:rsidR="003F5B38">
        <w:rPr>
          <w:rFonts w:ascii="Times New Roman" w:hAnsi="Times New Roman"/>
          <w:szCs w:val="24"/>
        </w:rPr>
        <w:t xml:space="preserve"> profit or loss under</w:t>
      </w:r>
      <w:r w:rsidR="00912CFE">
        <w:rPr>
          <w:rFonts w:ascii="Times New Roman" w:hAnsi="Times New Roman"/>
          <w:szCs w:val="24"/>
        </w:rPr>
        <w:t xml:space="preserve"> Singe entry system</w:t>
      </w:r>
      <w:r w:rsidR="00317C09">
        <w:rPr>
          <w:rFonts w:ascii="Times New Roman" w:hAnsi="Times New Roman"/>
          <w:szCs w:val="24"/>
        </w:rPr>
        <w:t xml:space="preserve">–under </w:t>
      </w:r>
      <w:bookmarkStart w:id="0" w:name="_GoBack"/>
      <w:bookmarkEnd w:id="0"/>
      <w:r w:rsidR="000A6B27">
        <w:rPr>
          <w:rFonts w:ascii="Times New Roman" w:hAnsi="Times New Roman"/>
          <w:szCs w:val="24"/>
        </w:rPr>
        <w:t xml:space="preserve">Conversion Method. </w:t>
      </w:r>
      <w:r w:rsidR="00911A6B">
        <w:rPr>
          <w:rFonts w:ascii="Times New Roman" w:hAnsi="Times New Roman"/>
          <w:szCs w:val="24"/>
        </w:rPr>
        <w:t>Preparat</w:t>
      </w:r>
      <w:r w:rsidR="0019585F">
        <w:rPr>
          <w:rFonts w:ascii="Times New Roman" w:hAnsi="Times New Roman"/>
          <w:szCs w:val="24"/>
        </w:rPr>
        <w:t xml:space="preserve">ion of Total Debtors Account, Total Creditors Account, Bills Receivable Account, </w:t>
      </w:r>
      <w:r w:rsidR="00E130EF">
        <w:rPr>
          <w:rFonts w:ascii="Times New Roman" w:hAnsi="Times New Roman"/>
          <w:szCs w:val="24"/>
        </w:rPr>
        <w:t xml:space="preserve">Bills Payable Account, Trading and Profit </w:t>
      </w:r>
      <w:r w:rsidR="00F143F9">
        <w:rPr>
          <w:rFonts w:ascii="Times New Roman" w:hAnsi="Times New Roman"/>
          <w:szCs w:val="24"/>
        </w:rPr>
        <w:t>&amp;Loss Account and Balance Sheet</w:t>
      </w:r>
      <w:r w:rsidR="00E47586">
        <w:rPr>
          <w:rFonts w:ascii="Times New Roman" w:hAnsi="Times New Roman"/>
          <w:szCs w:val="24"/>
        </w:rPr>
        <w:t>.</w:t>
      </w:r>
    </w:p>
    <w:p w:rsidR="006B17D0" w:rsidRDefault="006B17D0" w:rsidP="00787CC3">
      <w:pPr>
        <w:ind w:left="720"/>
        <w:jc w:val="both"/>
        <w:rPr>
          <w:rFonts w:ascii="Times New Roman" w:hAnsi="Times New Roman"/>
          <w:szCs w:val="24"/>
        </w:rPr>
      </w:pPr>
    </w:p>
    <w:p w:rsidR="00E47586" w:rsidRPr="00BD63B5" w:rsidRDefault="00E47586" w:rsidP="00787CC3">
      <w:pPr>
        <w:jc w:val="both"/>
        <w:rPr>
          <w:rFonts w:ascii="Times New Roman" w:hAnsi="Times New Roman"/>
          <w:b/>
          <w:szCs w:val="24"/>
        </w:rPr>
      </w:pPr>
      <w:r w:rsidRPr="00BD63B5">
        <w:rPr>
          <w:rFonts w:ascii="Times New Roman" w:hAnsi="Times New Roman"/>
          <w:b/>
          <w:szCs w:val="24"/>
        </w:rPr>
        <w:t xml:space="preserve">Unit II </w:t>
      </w:r>
      <w:r w:rsidRPr="00BD63B5">
        <w:rPr>
          <w:rFonts w:ascii="Times New Roman" w:hAnsi="Times New Roman"/>
          <w:b/>
          <w:bCs/>
          <w:szCs w:val="24"/>
        </w:rPr>
        <w:t xml:space="preserve">Depreciation Accounting        </w:t>
      </w:r>
      <w:r w:rsidRPr="00BD63B5">
        <w:rPr>
          <w:rFonts w:ascii="Times New Roman" w:hAnsi="Times New Roman"/>
          <w:b/>
          <w:szCs w:val="24"/>
        </w:rPr>
        <w:t xml:space="preserve">                                     </w:t>
      </w:r>
      <w:r w:rsidR="002758DE">
        <w:rPr>
          <w:rFonts w:ascii="Times New Roman" w:hAnsi="Times New Roman"/>
          <w:b/>
          <w:szCs w:val="24"/>
        </w:rPr>
        <w:t xml:space="preserve">     </w:t>
      </w:r>
      <w:r w:rsidR="005C017B">
        <w:rPr>
          <w:rFonts w:ascii="Times New Roman" w:hAnsi="Times New Roman"/>
          <w:b/>
          <w:szCs w:val="24"/>
        </w:rPr>
        <w:t xml:space="preserve">     </w:t>
      </w:r>
      <w:r w:rsidRPr="00BD63B5">
        <w:rPr>
          <w:rFonts w:ascii="Times New Roman" w:hAnsi="Times New Roman"/>
          <w:b/>
          <w:szCs w:val="24"/>
        </w:rPr>
        <w:t>(</w:t>
      </w:r>
      <w:r w:rsidR="008B6070">
        <w:rPr>
          <w:rFonts w:ascii="Times New Roman" w:hAnsi="Times New Roman"/>
          <w:b/>
          <w:szCs w:val="24"/>
        </w:rPr>
        <w:t>2</w:t>
      </w:r>
      <w:r w:rsidR="002808DD">
        <w:rPr>
          <w:rFonts w:ascii="Times New Roman" w:hAnsi="Times New Roman"/>
          <w:b/>
          <w:szCs w:val="24"/>
        </w:rPr>
        <w:t>0</w:t>
      </w:r>
      <w:r w:rsidR="002758DE">
        <w:rPr>
          <w:rFonts w:ascii="Times New Roman" w:hAnsi="Times New Roman"/>
          <w:b/>
          <w:szCs w:val="24"/>
        </w:rPr>
        <w:t xml:space="preserve"> </w:t>
      </w:r>
      <w:r w:rsidR="002808DD">
        <w:rPr>
          <w:rFonts w:ascii="Times New Roman" w:hAnsi="Times New Roman"/>
          <w:b/>
          <w:szCs w:val="24"/>
        </w:rPr>
        <w:t>Marks – 1</w:t>
      </w:r>
      <w:r w:rsidR="001B2898">
        <w:rPr>
          <w:rFonts w:ascii="Times New Roman" w:hAnsi="Times New Roman"/>
          <w:b/>
          <w:szCs w:val="24"/>
        </w:rPr>
        <w:t xml:space="preserve">4 </w:t>
      </w:r>
      <w:r w:rsidR="008B6070">
        <w:rPr>
          <w:rFonts w:ascii="Times New Roman" w:hAnsi="Times New Roman"/>
          <w:b/>
          <w:szCs w:val="24"/>
        </w:rPr>
        <w:t>Lectures</w:t>
      </w:r>
      <w:r w:rsidR="002D4F4B" w:rsidRPr="00BD63B5">
        <w:rPr>
          <w:rFonts w:ascii="Times New Roman" w:hAnsi="Times New Roman"/>
          <w:b/>
          <w:szCs w:val="24"/>
        </w:rPr>
        <w:t>)</w:t>
      </w:r>
    </w:p>
    <w:p w:rsidR="002D4F4B" w:rsidRDefault="002D4F4B" w:rsidP="00787CC3">
      <w:pPr>
        <w:jc w:val="both"/>
        <w:rPr>
          <w:rFonts w:ascii="Times New Roman" w:hAnsi="Times New Roman"/>
          <w:szCs w:val="24"/>
        </w:rPr>
      </w:pPr>
      <w:r>
        <w:rPr>
          <w:rFonts w:ascii="Times New Roman" w:hAnsi="Times New Roman"/>
          <w:szCs w:val="24"/>
        </w:rPr>
        <w:tab/>
      </w:r>
      <w:r w:rsidR="00FF522A">
        <w:rPr>
          <w:rFonts w:ascii="Times New Roman" w:hAnsi="Times New Roman"/>
          <w:szCs w:val="24"/>
        </w:rPr>
        <w:t xml:space="preserve">Meaning, causes, </w:t>
      </w:r>
      <w:r w:rsidR="00165BB5">
        <w:rPr>
          <w:rFonts w:ascii="Times New Roman" w:hAnsi="Times New Roman"/>
          <w:szCs w:val="24"/>
        </w:rPr>
        <w:t>need for providing depreciation, AS 6</w:t>
      </w:r>
      <w:r w:rsidR="00C26ECC">
        <w:rPr>
          <w:rFonts w:ascii="Times New Roman" w:hAnsi="Times New Roman"/>
          <w:szCs w:val="24"/>
        </w:rPr>
        <w:t>,</w:t>
      </w:r>
      <w:r w:rsidR="00A82D7E">
        <w:rPr>
          <w:rFonts w:ascii="Times New Roman" w:hAnsi="Times New Roman"/>
          <w:szCs w:val="24"/>
        </w:rPr>
        <w:t xml:space="preserve"> Methods of </w:t>
      </w:r>
      <w:r w:rsidR="00F007B3">
        <w:rPr>
          <w:rFonts w:ascii="Times New Roman" w:hAnsi="Times New Roman"/>
          <w:szCs w:val="24"/>
        </w:rPr>
        <w:t>depreciation.</w:t>
      </w:r>
    </w:p>
    <w:p w:rsidR="00C26ECC" w:rsidRDefault="00A92B19" w:rsidP="00787CC3">
      <w:pPr>
        <w:jc w:val="both"/>
        <w:rPr>
          <w:rFonts w:ascii="Times New Roman" w:hAnsi="Times New Roman"/>
          <w:szCs w:val="24"/>
        </w:rPr>
      </w:pPr>
      <w:r>
        <w:rPr>
          <w:rFonts w:ascii="Times New Roman" w:hAnsi="Times New Roman"/>
          <w:szCs w:val="24"/>
        </w:rPr>
        <w:tab/>
        <w:t>Methods of depreciation for practical problems:</w:t>
      </w:r>
    </w:p>
    <w:p w:rsidR="00732576" w:rsidRDefault="00C26ECC" w:rsidP="00787CC3">
      <w:pPr>
        <w:pStyle w:val="ListParagraph"/>
        <w:numPr>
          <w:ilvl w:val="0"/>
          <w:numId w:val="1"/>
        </w:numPr>
        <w:jc w:val="both"/>
        <w:rPr>
          <w:rFonts w:ascii="Times New Roman" w:hAnsi="Times New Roman"/>
          <w:szCs w:val="24"/>
        </w:rPr>
      </w:pPr>
      <w:r w:rsidRPr="00BB1A48">
        <w:rPr>
          <w:rFonts w:ascii="Times New Roman" w:hAnsi="Times New Roman"/>
          <w:szCs w:val="24"/>
        </w:rPr>
        <w:t>Change in Method</w:t>
      </w:r>
      <w:r w:rsidR="006B17D0">
        <w:rPr>
          <w:rFonts w:ascii="Times New Roman" w:hAnsi="Times New Roman"/>
          <w:szCs w:val="24"/>
        </w:rPr>
        <w:t xml:space="preserve"> </w:t>
      </w:r>
      <w:r w:rsidR="008803F8" w:rsidRPr="00BB1A48">
        <w:rPr>
          <w:rFonts w:ascii="Times New Roman" w:hAnsi="Times New Roman"/>
          <w:szCs w:val="24"/>
        </w:rPr>
        <w:t xml:space="preserve">of depreciation ( from Straight Line Method to </w:t>
      </w:r>
      <w:r w:rsidR="00732576" w:rsidRPr="00BB1A48">
        <w:rPr>
          <w:rFonts w:ascii="Times New Roman" w:hAnsi="Times New Roman"/>
          <w:szCs w:val="24"/>
        </w:rPr>
        <w:t xml:space="preserve">Reducing Balance </w:t>
      </w:r>
      <w:r w:rsidR="00732576" w:rsidRPr="007971E8">
        <w:rPr>
          <w:rFonts w:ascii="Times New Roman" w:hAnsi="Times New Roman"/>
          <w:szCs w:val="24"/>
        </w:rPr>
        <w:t>Method</w:t>
      </w:r>
      <w:r w:rsidR="009B44AE" w:rsidRPr="007971E8">
        <w:rPr>
          <w:rFonts w:ascii="Times New Roman" w:hAnsi="Times New Roman"/>
          <w:szCs w:val="24"/>
        </w:rPr>
        <w:t xml:space="preserve"> or vice</w:t>
      </w:r>
      <w:r w:rsidR="001D1C49" w:rsidRPr="007971E8">
        <w:rPr>
          <w:rFonts w:ascii="Times New Roman" w:hAnsi="Times New Roman"/>
          <w:szCs w:val="24"/>
        </w:rPr>
        <w:t>-versa)</w:t>
      </w:r>
    </w:p>
    <w:p w:rsidR="007971E8" w:rsidRDefault="007971E8" w:rsidP="00787CC3">
      <w:pPr>
        <w:pStyle w:val="ListParagraph"/>
        <w:numPr>
          <w:ilvl w:val="0"/>
          <w:numId w:val="1"/>
        </w:numPr>
        <w:jc w:val="both"/>
        <w:rPr>
          <w:rFonts w:ascii="Times New Roman" w:hAnsi="Times New Roman"/>
          <w:szCs w:val="24"/>
        </w:rPr>
      </w:pPr>
      <w:r>
        <w:rPr>
          <w:rFonts w:ascii="Times New Roman" w:hAnsi="Times New Roman"/>
          <w:szCs w:val="24"/>
        </w:rPr>
        <w:t>Sinking Fund Method</w:t>
      </w:r>
    </w:p>
    <w:p w:rsidR="007971E8" w:rsidRDefault="00817850" w:rsidP="00787CC3">
      <w:pPr>
        <w:pStyle w:val="ListParagraph"/>
        <w:numPr>
          <w:ilvl w:val="0"/>
          <w:numId w:val="1"/>
        </w:numPr>
        <w:jc w:val="both"/>
        <w:rPr>
          <w:rFonts w:ascii="Times New Roman" w:hAnsi="Times New Roman"/>
          <w:szCs w:val="24"/>
        </w:rPr>
      </w:pPr>
      <w:r>
        <w:rPr>
          <w:rFonts w:ascii="Times New Roman" w:hAnsi="Times New Roman"/>
          <w:szCs w:val="24"/>
        </w:rPr>
        <w:t>Insurance Policy Method</w:t>
      </w:r>
    </w:p>
    <w:p w:rsidR="00A92B19" w:rsidRDefault="008B1C7E" w:rsidP="00787CC3">
      <w:pPr>
        <w:ind w:left="720"/>
        <w:jc w:val="both"/>
        <w:rPr>
          <w:rFonts w:ascii="Times New Roman" w:hAnsi="Times New Roman"/>
          <w:szCs w:val="24"/>
        </w:rPr>
      </w:pPr>
      <w:r>
        <w:rPr>
          <w:rFonts w:ascii="Times New Roman" w:hAnsi="Times New Roman"/>
          <w:szCs w:val="24"/>
        </w:rPr>
        <w:t>Methods for depreciation for theory only:</w:t>
      </w:r>
    </w:p>
    <w:p w:rsidR="008B1C7E" w:rsidRDefault="008B1C7E" w:rsidP="00787CC3">
      <w:pPr>
        <w:pStyle w:val="ListParagraph"/>
        <w:numPr>
          <w:ilvl w:val="0"/>
          <w:numId w:val="2"/>
        </w:numPr>
        <w:jc w:val="both"/>
        <w:rPr>
          <w:rFonts w:ascii="Times New Roman" w:hAnsi="Times New Roman"/>
          <w:szCs w:val="24"/>
        </w:rPr>
      </w:pPr>
      <w:r>
        <w:rPr>
          <w:rFonts w:ascii="Times New Roman" w:hAnsi="Times New Roman"/>
          <w:szCs w:val="24"/>
        </w:rPr>
        <w:t>Annuity Method</w:t>
      </w:r>
    </w:p>
    <w:p w:rsidR="008B1C7E" w:rsidRDefault="00722BEE" w:rsidP="00787CC3">
      <w:pPr>
        <w:pStyle w:val="ListParagraph"/>
        <w:numPr>
          <w:ilvl w:val="0"/>
          <w:numId w:val="2"/>
        </w:numPr>
        <w:jc w:val="both"/>
        <w:rPr>
          <w:rFonts w:ascii="Times New Roman" w:hAnsi="Times New Roman"/>
          <w:szCs w:val="24"/>
        </w:rPr>
      </w:pPr>
      <w:r>
        <w:rPr>
          <w:rFonts w:ascii="Times New Roman" w:hAnsi="Times New Roman"/>
          <w:szCs w:val="24"/>
        </w:rPr>
        <w:t xml:space="preserve">Machine Hour </w:t>
      </w:r>
      <w:r w:rsidR="0050403D">
        <w:rPr>
          <w:rFonts w:ascii="Times New Roman" w:hAnsi="Times New Roman"/>
          <w:szCs w:val="24"/>
        </w:rPr>
        <w:t>Rate Method</w:t>
      </w:r>
    </w:p>
    <w:p w:rsidR="0050403D" w:rsidRDefault="0050403D" w:rsidP="00787CC3">
      <w:pPr>
        <w:pStyle w:val="ListParagraph"/>
        <w:numPr>
          <w:ilvl w:val="0"/>
          <w:numId w:val="2"/>
        </w:numPr>
        <w:jc w:val="both"/>
        <w:rPr>
          <w:rFonts w:ascii="Times New Roman" w:hAnsi="Times New Roman"/>
          <w:szCs w:val="24"/>
        </w:rPr>
      </w:pPr>
      <w:r>
        <w:rPr>
          <w:rFonts w:ascii="Times New Roman" w:hAnsi="Times New Roman"/>
          <w:szCs w:val="24"/>
        </w:rPr>
        <w:t>Service Hour Method</w:t>
      </w:r>
    </w:p>
    <w:p w:rsidR="0050403D" w:rsidRDefault="0050403D" w:rsidP="00787CC3">
      <w:pPr>
        <w:pStyle w:val="ListParagraph"/>
        <w:numPr>
          <w:ilvl w:val="0"/>
          <w:numId w:val="2"/>
        </w:numPr>
        <w:jc w:val="both"/>
        <w:rPr>
          <w:rFonts w:ascii="Times New Roman" w:hAnsi="Times New Roman"/>
          <w:szCs w:val="24"/>
        </w:rPr>
      </w:pPr>
      <w:r>
        <w:rPr>
          <w:rFonts w:ascii="Times New Roman" w:hAnsi="Times New Roman"/>
          <w:szCs w:val="24"/>
        </w:rPr>
        <w:t>Depletion Method</w:t>
      </w:r>
    </w:p>
    <w:p w:rsidR="0050403D" w:rsidRDefault="0050403D" w:rsidP="00787CC3">
      <w:pPr>
        <w:pStyle w:val="ListParagraph"/>
        <w:numPr>
          <w:ilvl w:val="0"/>
          <w:numId w:val="2"/>
        </w:numPr>
        <w:jc w:val="both"/>
        <w:rPr>
          <w:rFonts w:ascii="Times New Roman" w:hAnsi="Times New Roman"/>
          <w:szCs w:val="24"/>
        </w:rPr>
      </w:pPr>
      <w:r>
        <w:rPr>
          <w:rFonts w:ascii="Times New Roman" w:hAnsi="Times New Roman"/>
          <w:szCs w:val="24"/>
        </w:rPr>
        <w:t>Revaluation Method</w:t>
      </w:r>
    </w:p>
    <w:p w:rsidR="0050403D" w:rsidRPr="008B1C7E" w:rsidRDefault="0050403D" w:rsidP="00787CC3">
      <w:pPr>
        <w:pStyle w:val="ListParagraph"/>
        <w:numPr>
          <w:ilvl w:val="0"/>
          <w:numId w:val="2"/>
        </w:numPr>
        <w:jc w:val="both"/>
        <w:rPr>
          <w:rFonts w:ascii="Times New Roman" w:hAnsi="Times New Roman"/>
          <w:szCs w:val="24"/>
        </w:rPr>
      </w:pPr>
      <w:r>
        <w:rPr>
          <w:rFonts w:ascii="Times New Roman" w:hAnsi="Times New Roman"/>
          <w:szCs w:val="24"/>
        </w:rPr>
        <w:t>Sum of Digits Method</w:t>
      </w:r>
    </w:p>
    <w:p w:rsidR="00703DA2" w:rsidRDefault="00703DA2" w:rsidP="00787CC3">
      <w:pPr>
        <w:jc w:val="both"/>
        <w:rPr>
          <w:rFonts w:ascii="Times New Roman" w:hAnsi="Times New Roman"/>
          <w:szCs w:val="24"/>
        </w:rPr>
      </w:pPr>
    </w:p>
    <w:p w:rsidR="000010A5" w:rsidRPr="00657258" w:rsidRDefault="00054755" w:rsidP="000010A5">
      <w:pPr>
        <w:jc w:val="both"/>
        <w:rPr>
          <w:rFonts w:ascii="Times New Roman" w:hAnsi="Times New Roman" w:cs="Times New Roman"/>
          <w:b/>
          <w:szCs w:val="24"/>
        </w:rPr>
      </w:pPr>
      <w:r w:rsidRPr="00BD63B5">
        <w:rPr>
          <w:rFonts w:ascii="Times New Roman" w:hAnsi="Times New Roman"/>
          <w:b/>
          <w:szCs w:val="24"/>
        </w:rPr>
        <w:t>Unit I</w:t>
      </w:r>
      <w:r w:rsidR="000010A5">
        <w:rPr>
          <w:rFonts w:ascii="Times New Roman" w:hAnsi="Times New Roman"/>
          <w:b/>
          <w:szCs w:val="24"/>
        </w:rPr>
        <w:t>II</w:t>
      </w:r>
      <w:r w:rsidR="000010A5" w:rsidRPr="000010A5">
        <w:rPr>
          <w:rFonts w:ascii="Times New Roman" w:hAnsi="Times New Roman" w:cs="Times New Roman"/>
          <w:b/>
          <w:szCs w:val="24"/>
        </w:rPr>
        <w:t xml:space="preserve"> </w:t>
      </w:r>
      <w:r w:rsidR="000010A5" w:rsidRPr="00657258">
        <w:rPr>
          <w:rFonts w:ascii="Times New Roman" w:hAnsi="Times New Roman" w:cs="Times New Roman"/>
          <w:b/>
          <w:szCs w:val="24"/>
        </w:rPr>
        <w:t xml:space="preserve">: Issue </w:t>
      </w:r>
      <w:r w:rsidR="000010A5">
        <w:rPr>
          <w:rFonts w:ascii="Times New Roman" w:hAnsi="Times New Roman" w:cs="Times New Roman"/>
          <w:b/>
          <w:szCs w:val="24"/>
        </w:rPr>
        <w:t xml:space="preserve">and Buy-Back of </w:t>
      </w:r>
      <w:r w:rsidR="003F3992">
        <w:rPr>
          <w:rFonts w:ascii="Times New Roman" w:hAnsi="Times New Roman" w:cs="Times New Roman"/>
          <w:b/>
          <w:szCs w:val="24"/>
        </w:rPr>
        <w:t xml:space="preserve">Equity </w:t>
      </w:r>
      <w:r w:rsidR="000010A5" w:rsidRPr="00657258">
        <w:rPr>
          <w:rFonts w:ascii="Times New Roman" w:hAnsi="Times New Roman" w:cs="Times New Roman"/>
          <w:b/>
          <w:szCs w:val="24"/>
        </w:rPr>
        <w:t>Shares</w:t>
      </w:r>
      <w:r w:rsidR="000010A5">
        <w:rPr>
          <w:rFonts w:ascii="Times New Roman" w:hAnsi="Times New Roman" w:cs="Times New Roman"/>
          <w:b/>
          <w:szCs w:val="24"/>
        </w:rPr>
        <w:tab/>
      </w:r>
      <w:r w:rsidR="000010A5">
        <w:rPr>
          <w:rFonts w:ascii="Times New Roman" w:hAnsi="Times New Roman" w:cs="Times New Roman"/>
          <w:b/>
          <w:szCs w:val="24"/>
        </w:rPr>
        <w:tab/>
      </w:r>
      <w:r w:rsidR="000010A5">
        <w:rPr>
          <w:rFonts w:ascii="Times New Roman" w:hAnsi="Times New Roman" w:cs="Times New Roman"/>
          <w:b/>
          <w:szCs w:val="24"/>
        </w:rPr>
        <w:tab/>
        <w:t xml:space="preserve">  </w:t>
      </w:r>
      <w:r w:rsidR="003F3992">
        <w:rPr>
          <w:rFonts w:ascii="Times New Roman" w:hAnsi="Times New Roman" w:cs="Times New Roman"/>
          <w:b/>
          <w:szCs w:val="24"/>
        </w:rPr>
        <w:t xml:space="preserve"> </w:t>
      </w:r>
      <w:r w:rsidR="008B6070">
        <w:rPr>
          <w:rFonts w:ascii="Times New Roman" w:hAnsi="Times New Roman" w:cs="Times New Roman"/>
          <w:b/>
          <w:szCs w:val="24"/>
        </w:rPr>
        <w:t>(</w:t>
      </w:r>
      <w:r w:rsidR="000010A5">
        <w:rPr>
          <w:rFonts w:ascii="Times New Roman" w:hAnsi="Times New Roman" w:cs="Times New Roman"/>
          <w:b/>
          <w:szCs w:val="24"/>
        </w:rPr>
        <w:t>40 marks</w:t>
      </w:r>
      <w:r w:rsidR="008B6070">
        <w:rPr>
          <w:rFonts w:ascii="Times New Roman" w:hAnsi="Times New Roman" w:cs="Times New Roman"/>
          <w:b/>
          <w:szCs w:val="24"/>
        </w:rPr>
        <w:t>,  2</w:t>
      </w:r>
      <w:r w:rsidR="00CB1C4D">
        <w:rPr>
          <w:rFonts w:ascii="Times New Roman" w:hAnsi="Times New Roman" w:cs="Times New Roman"/>
          <w:b/>
          <w:szCs w:val="24"/>
        </w:rPr>
        <w:t>2</w:t>
      </w:r>
      <w:r w:rsidR="008B6070">
        <w:rPr>
          <w:rFonts w:ascii="Times New Roman" w:hAnsi="Times New Roman" w:cs="Times New Roman"/>
          <w:b/>
          <w:szCs w:val="24"/>
        </w:rPr>
        <w:t xml:space="preserve"> Lectures</w:t>
      </w:r>
      <w:r w:rsidR="000010A5">
        <w:rPr>
          <w:rFonts w:ascii="Times New Roman" w:hAnsi="Times New Roman" w:cs="Times New Roman"/>
          <w:b/>
          <w:szCs w:val="24"/>
        </w:rPr>
        <w:t>)</w:t>
      </w:r>
    </w:p>
    <w:p w:rsidR="000010A5" w:rsidRDefault="001B2898" w:rsidP="001B2898">
      <w:pPr>
        <w:pStyle w:val="ListParagraph"/>
        <w:numPr>
          <w:ilvl w:val="0"/>
          <w:numId w:val="7"/>
        </w:numPr>
        <w:jc w:val="both"/>
        <w:rPr>
          <w:rFonts w:ascii="Times New Roman" w:hAnsi="Times New Roman"/>
          <w:b/>
          <w:szCs w:val="24"/>
        </w:rPr>
      </w:pPr>
      <w:r>
        <w:rPr>
          <w:rFonts w:ascii="Times New Roman" w:hAnsi="Times New Roman" w:cs="Times New Roman"/>
          <w:b/>
          <w:szCs w:val="24"/>
        </w:rPr>
        <w:t xml:space="preserve">Issue of </w:t>
      </w:r>
      <w:r w:rsidR="000010A5" w:rsidRPr="001B2898">
        <w:rPr>
          <w:rFonts w:ascii="Times New Roman" w:hAnsi="Times New Roman" w:cs="Times New Roman"/>
          <w:b/>
          <w:szCs w:val="24"/>
        </w:rPr>
        <w:t>Shares:</w:t>
      </w:r>
      <w:r w:rsidR="000010A5" w:rsidRPr="001B2898">
        <w:rPr>
          <w:rFonts w:ascii="Times New Roman" w:hAnsi="Times New Roman" w:cs="Times New Roman"/>
          <w:szCs w:val="24"/>
        </w:rPr>
        <w:t xml:space="preserve"> Meaning, Kinds of Shares, terms of issues, SEBI guidelines of issue of shares, accounting entries, issue of shares at par and at premium. Under subscription, Oversubscription, pro rata allotment. Calls in arrears, calls in advance, and interest on calls in advance. Forfeiture and re-issue of forfeited shares. Issue of bonus shares and right shares, Book building process (Only theory)</w:t>
      </w:r>
      <w:r w:rsidR="000010A5" w:rsidRPr="001B2898">
        <w:rPr>
          <w:rFonts w:ascii="Times New Roman" w:hAnsi="Times New Roman"/>
          <w:b/>
          <w:szCs w:val="24"/>
        </w:rPr>
        <w:t xml:space="preserve"> </w:t>
      </w:r>
      <w:r w:rsidR="00054755" w:rsidRPr="001B2898">
        <w:rPr>
          <w:rFonts w:ascii="Times New Roman" w:hAnsi="Times New Roman"/>
          <w:b/>
          <w:bCs/>
          <w:szCs w:val="24"/>
        </w:rPr>
        <w:t xml:space="preserve"> </w:t>
      </w:r>
      <w:r w:rsidR="00616B26" w:rsidRPr="001B2898">
        <w:rPr>
          <w:rFonts w:ascii="Times New Roman" w:hAnsi="Times New Roman"/>
          <w:b/>
          <w:szCs w:val="24"/>
        </w:rPr>
        <w:t xml:space="preserve">                              </w:t>
      </w:r>
      <w:r w:rsidR="00BD63B5" w:rsidRPr="001B2898">
        <w:rPr>
          <w:rFonts w:ascii="Times New Roman" w:hAnsi="Times New Roman"/>
          <w:b/>
          <w:szCs w:val="24"/>
        </w:rPr>
        <w:tab/>
      </w:r>
      <w:r w:rsidR="00BD63B5" w:rsidRPr="001B2898">
        <w:rPr>
          <w:rFonts w:ascii="Times New Roman" w:hAnsi="Times New Roman"/>
          <w:b/>
          <w:szCs w:val="24"/>
        </w:rPr>
        <w:tab/>
      </w:r>
      <w:r w:rsidR="00BD63B5" w:rsidRPr="001B2898">
        <w:rPr>
          <w:rFonts w:ascii="Times New Roman" w:hAnsi="Times New Roman"/>
          <w:b/>
          <w:szCs w:val="24"/>
        </w:rPr>
        <w:tab/>
      </w:r>
    </w:p>
    <w:p w:rsidR="001B2898" w:rsidRDefault="001B2898" w:rsidP="001B2898">
      <w:pPr>
        <w:pStyle w:val="ListParagraph"/>
        <w:jc w:val="both"/>
        <w:rPr>
          <w:rFonts w:ascii="Times New Roman" w:hAnsi="Times New Roman"/>
          <w:b/>
          <w:szCs w:val="24"/>
        </w:rPr>
      </w:pPr>
    </w:p>
    <w:p w:rsidR="001B2898" w:rsidRDefault="001B2898" w:rsidP="001B2898">
      <w:pPr>
        <w:pStyle w:val="ListParagraph"/>
        <w:numPr>
          <w:ilvl w:val="0"/>
          <w:numId w:val="7"/>
        </w:numPr>
        <w:jc w:val="both"/>
        <w:rPr>
          <w:rFonts w:ascii="Times New Roman" w:hAnsi="Times New Roman"/>
          <w:b/>
          <w:szCs w:val="24"/>
        </w:rPr>
      </w:pPr>
      <w:r>
        <w:rPr>
          <w:rFonts w:ascii="Times New Roman" w:hAnsi="Times New Roman" w:cs="Times New Roman"/>
          <w:b/>
          <w:szCs w:val="24"/>
        </w:rPr>
        <w:t>Buy-</w:t>
      </w:r>
      <w:r>
        <w:rPr>
          <w:rFonts w:ascii="Times New Roman" w:hAnsi="Times New Roman"/>
          <w:b/>
          <w:szCs w:val="24"/>
        </w:rPr>
        <w:t>Back of Equity Shares</w:t>
      </w:r>
    </w:p>
    <w:p w:rsidR="001B2898" w:rsidRPr="001B2898" w:rsidRDefault="001B2898" w:rsidP="001B2898">
      <w:pPr>
        <w:pStyle w:val="ListParagraph"/>
        <w:jc w:val="both"/>
        <w:rPr>
          <w:rFonts w:ascii="Times New Roman" w:hAnsi="Times New Roman" w:cs="Times New Roman"/>
          <w:szCs w:val="24"/>
        </w:rPr>
      </w:pPr>
      <w:r w:rsidRPr="001B2898">
        <w:rPr>
          <w:rFonts w:ascii="Times New Roman" w:hAnsi="Times New Roman" w:cs="Times New Roman"/>
          <w:szCs w:val="24"/>
        </w:rPr>
        <w:t>Company Law/ Legal Provisions and SEBI guide lines (including related restrictions, power, Notice of the meeting, transfer to capital redemption reserve account and prohibitions of buy back and financial assistance), Compliance of conditions including sources, maximum limits. Accounting for buy back of shares.</w:t>
      </w:r>
    </w:p>
    <w:p w:rsidR="001B2898" w:rsidRPr="001B2898" w:rsidRDefault="001B2898" w:rsidP="001B2898">
      <w:pPr>
        <w:pStyle w:val="ListParagraph"/>
        <w:jc w:val="both"/>
        <w:rPr>
          <w:rFonts w:ascii="Times New Roman" w:hAnsi="Times New Roman"/>
          <w:b/>
          <w:szCs w:val="24"/>
        </w:rPr>
      </w:pPr>
    </w:p>
    <w:p w:rsidR="000010A5" w:rsidRDefault="000010A5" w:rsidP="000010A5">
      <w:pPr>
        <w:jc w:val="both"/>
        <w:rPr>
          <w:rFonts w:ascii="Times New Roman" w:hAnsi="Times New Roman"/>
          <w:b/>
          <w:szCs w:val="24"/>
        </w:rPr>
      </w:pPr>
    </w:p>
    <w:p w:rsidR="000010A5" w:rsidRPr="00657258" w:rsidRDefault="000010A5" w:rsidP="000010A5">
      <w:pPr>
        <w:jc w:val="both"/>
        <w:rPr>
          <w:rFonts w:ascii="Times New Roman" w:hAnsi="Times New Roman" w:cs="Times New Roman"/>
          <w:b/>
          <w:szCs w:val="24"/>
        </w:rPr>
      </w:pPr>
      <w:r>
        <w:rPr>
          <w:rFonts w:ascii="Times New Roman" w:hAnsi="Times New Roman" w:cs="Times New Roman"/>
          <w:b/>
          <w:szCs w:val="24"/>
        </w:rPr>
        <w:t>Unit IV</w:t>
      </w:r>
      <w:r w:rsidRPr="00657258">
        <w:rPr>
          <w:rFonts w:ascii="Times New Roman" w:hAnsi="Times New Roman" w:cs="Times New Roman"/>
          <w:b/>
          <w:szCs w:val="24"/>
        </w:rPr>
        <w:t>: Redemption of Preference shares</w:t>
      </w:r>
      <w:r>
        <w:rPr>
          <w:rFonts w:ascii="Times New Roman" w:hAnsi="Times New Roman" w:cs="Times New Roman"/>
          <w:b/>
          <w:szCs w:val="24"/>
        </w:rPr>
        <w:t xml:space="preserve"> </w:t>
      </w:r>
      <w:r>
        <w:rPr>
          <w:rFonts w:ascii="Times New Roman" w:hAnsi="Times New Roman" w:cs="Times New Roman"/>
          <w:b/>
          <w:szCs w:val="24"/>
        </w:rPr>
        <w:tab/>
      </w:r>
      <w:r>
        <w:rPr>
          <w:rFonts w:ascii="Times New Roman" w:hAnsi="Times New Roman" w:cs="Times New Roman"/>
          <w:b/>
          <w:szCs w:val="24"/>
        </w:rPr>
        <w:tab/>
      </w:r>
      <w:r>
        <w:rPr>
          <w:rFonts w:ascii="Times New Roman" w:hAnsi="Times New Roman" w:cs="Times New Roman"/>
          <w:b/>
          <w:szCs w:val="24"/>
        </w:rPr>
        <w:tab/>
      </w:r>
      <w:r w:rsidR="003F3992">
        <w:rPr>
          <w:rFonts w:ascii="Times New Roman" w:hAnsi="Times New Roman" w:cs="Times New Roman"/>
          <w:b/>
          <w:szCs w:val="24"/>
        </w:rPr>
        <w:t xml:space="preserve">     </w:t>
      </w:r>
      <w:r w:rsidR="008B6070">
        <w:rPr>
          <w:rFonts w:ascii="Times New Roman" w:hAnsi="Times New Roman" w:cs="Times New Roman"/>
          <w:b/>
          <w:szCs w:val="24"/>
        </w:rPr>
        <w:t>(</w:t>
      </w:r>
      <w:r>
        <w:rPr>
          <w:rFonts w:ascii="Times New Roman" w:hAnsi="Times New Roman" w:cs="Times New Roman"/>
          <w:b/>
          <w:szCs w:val="24"/>
        </w:rPr>
        <w:t>20 marks</w:t>
      </w:r>
      <w:r w:rsidR="00CB1C4D">
        <w:rPr>
          <w:rFonts w:ascii="Times New Roman" w:hAnsi="Times New Roman" w:cs="Times New Roman"/>
          <w:b/>
          <w:szCs w:val="24"/>
        </w:rPr>
        <w:t>, 12 Lectures</w:t>
      </w:r>
      <w:r>
        <w:rPr>
          <w:rFonts w:ascii="Times New Roman" w:hAnsi="Times New Roman" w:cs="Times New Roman"/>
          <w:b/>
          <w:szCs w:val="24"/>
        </w:rPr>
        <w:t>)</w:t>
      </w:r>
    </w:p>
    <w:p w:rsidR="000010A5" w:rsidRDefault="000010A5" w:rsidP="000010A5">
      <w:pPr>
        <w:jc w:val="both"/>
        <w:rPr>
          <w:rFonts w:ascii="Times New Roman" w:hAnsi="Times New Roman" w:cs="Times New Roman"/>
          <w:szCs w:val="24"/>
        </w:rPr>
      </w:pPr>
      <w:r w:rsidRPr="0023538A">
        <w:rPr>
          <w:rFonts w:ascii="Times New Roman" w:hAnsi="Times New Roman" w:cs="Times New Roman"/>
          <w:szCs w:val="24"/>
        </w:rPr>
        <w:t>Company Law / Legal Provisions for red</w:t>
      </w:r>
      <w:r>
        <w:rPr>
          <w:rFonts w:ascii="Times New Roman" w:hAnsi="Times New Roman" w:cs="Times New Roman"/>
          <w:szCs w:val="24"/>
        </w:rPr>
        <w:t xml:space="preserve">emption of preference shares in Companies Act. </w:t>
      </w:r>
      <w:r w:rsidRPr="0023538A">
        <w:rPr>
          <w:rFonts w:ascii="Times New Roman" w:hAnsi="Times New Roman" w:cs="Times New Roman"/>
          <w:szCs w:val="24"/>
        </w:rPr>
        <w:t>Sources of redemption including divisible profits</w:t>
      </w:r>
      <w:r>
        <w:rPr>
          <w:rFonts w:ascii="Times New Roman" w:hAnsi="Times New Roman" w:cs="Times New Roman"/>
          <w:szCs w:val="24"/>
        </w:rPr>
        <w:t xml:space="preserve"> and proceeds of fresh issue of shares. Redemption of shares at Par and </w:t>
      </w:r>
      <w:r w:rsidRPr="0023538A">
        <w:rPr>
          <w:rFonts w:ascii="Times New Roman" w:hAnsi="Times New Roman" w:cs="Times New Roman"/>
          <w:szCs w:val="24"/>
        </w:rPr>
        <w:t>Premium.</w:t>
      </w:r>
      <w:r>
        <w:rPr>
          <w:rFonts w:ascii="Times New Roman" w:hAnsi="Times New Roman" w:cs="Times New Roman"/>
          <w:szCs w:val="24"/>
        </w:rPr>
        <w:t xml:space="preserve"> </w:t>
      </w:r>
      <w:r w:rsidRPr="0023538A">
        <w:rPr>
          <w:rFonts w:ascii="Times New Roman" w:hAnsi="Times New Roman" w:cs="Times New Roman"/>
          <w:szCs w:val="24"/>
        </w:rPr>
        <w:t>Capital Redemption Re</w:t>
      </w:r>
      <w:r>
        <w:rPr>
          <w:rFonts w:ascii="Times New Roman" w:hAnsi="Times New Roman" w:cs="Times New Roman"/>
          <w:szCs w:val="24"/>
        </w:rPr>
        <w:t>serve Account, Bonus issue. Journal entries and the relevant items in the balance sheet</w:t>
      </w:r>
    </w:p>
    <w:p w:rsidR="000E36FD" w:rsidRDefault="000E36FD" w:rsidP="00787CC3">
      <w:pPr>
        <w:ind w:left="720"/>
        <w:jc w:val="both"/>
        <w:rPr>
          <w:rFonts w:ascii="Times New Roman" w:hAnsi="Times New Roman"/>
          <w:szCs w:val="24"/>
        </w:rPr>
      </w:pPr>
    </w:p>
    <w:p w:rsidR="001C1796" w:rsidRDefault="001C1796" w:rsidP="00787CC3">
      <w:pPr>
        <w:ind w:left="720"/>
        <w:jc w:val="both"/>
        <w:rPr>
          <w:rFonts w:ascii="Times New Roman" w:hAnsi="Times New Roman"/>
          <w:szCs w:val="24"/>
        </w:rPr>
      </w:pPr>
    </w:p>
    <w:p w:rsidR="00F007B3" w:rsidRDefault="00F007B3" w:rsidP="00787CC3">
      <w:pPr>
        <w:jc w:val="both"/>
        <w:rPr>
          <w:rFonts w:ascii="Times New Roman" w:hAnsi="Times New Roman"/>
          <w:szCs w:val="24"/>
        </w:rPr>
      </w:pPr>
    </w:p>
    <w:p w:rsidR="00F007B3" w:rsidRDefault="00E65BD7" w:rsidP="00787CC3">
      <w:pPr>
        <w:jc w:val="both"/>
        <w:rPr>
          <w:rFonts w:ascii="Times New Roman" w:hAnsi="Times New Roman"/>
          <w:b/>
          <w:szCs w:val="24"/>
        </w:rPr>
      </w:pPr>
      <w:r w:rsidRPr="00E65BD7">
        <w:rPr>
          <w:rFonts w:ascii="Times New Roman" w:hAnsi="Times New Roman"/>
          <w:b/>
          <w:szCs w:val="24"/>
        </w:rPr>
        <w:t>References:</w:t>
      </w:r>
    </w:p>
    <w:p w:rsidR="00450514" w:rsidRPr="00E65BD7" w:rsidRDefault="00450514" w:rsidP="00787CC3">
      <w:pPr>
        <w:jc w:val="both"/>
        <w:rPr>
          <w:rFonts w:ascii="Times New Roman" w:hAnsi="Times New Roman"/>
          <w:b/>
          <w:szCs w:val="24"/>
        </w:rPr>
      </w:pPr>
    </w:p>
    <w:p w:rsidR="00450514" w:rsidRPr="00450514" w:rsidRDefault="00205461" w:rsidP="00450514">
      <w:pPr>
        <w:pStyle w:val="Bibliography"/>
        <w:numPr>
          <w:ilvl w:val="0"/>
          <w:numId w:val="8"/>
        </w:numPr>
        <w:rPr>
          <w:rFonts w:ascii="Times New Roman" w:hAnsi="Times New Roman" w:cs="Times New Roman"/>
          <w:noProof/>
        </w:rPr>
      </w:pPr>
      <w:r w:rsidRPr="00450514">
        <w:rPr>
          <w:rFonts w:ascii="Times New Roman" w:hAnsi="Times New Roman" w:cs="Times New Roman"/>
          <w:szCs w:val="24"/>
        </w:rPr>
        <w:fldChar w:fldCharType="begin"/>
      </w:r>
      <w:r w:rsidR="00450514" w:rsidRPr="00450514">
        <w:rPr>
          <w:rFonts w:ascii="Times New Roman" w:hAnsi="Times New Roman" w:cs="Times New Roman"/>
          <w:szCs w:val="24"/>
        </w:rPr>
        <w:instrText xml:space="preserve"> BIBLIOGRAPHY  \l 1033 </w:instrText>
      </w:r>
      <w:r w:rsidRPr="00450514">
        <w:rPr>
          <w:rFonts w:ascii="Times New Roman" w:hAnsi="Times New Roman" w:cs="Times New Roman"/>
          <w:szCs w:val="24"/>
        </w:rPr>
        <w:fldChar w:fldCharType="separate"/>
      </w:r>
      <w:r w:rsidR="00450514" w:rsidRPr="00450514">
        <w:rPr>
          <w:rFonts w:ascii="Times New Roman" w:hAnsi="Times New Roman" w:cs="Times New Roman"/>
          <w:noProof/>
        </w:rPr>
        <w:t xml:space="preserve">Jain, &amp; Narang. </w:t>
      </w:r>
      <w:r w:rsidR="00450514" w:rsidRPr="00450514">
        <w:rPr>
          <w:rFonts w:ascii="Times New Roman" w:hAnsi="Times New Roman" w:cs="Times New Roman"/>
          <w:i/>
          <w:iCs/>
          <w:noProof/>
        </w:rPr>
        <w:t>Advanced Accountancy.</w:t>
      </w:r>
      <w:r w:rsidR="00450514" w:rsidRPr="00450514">
        <w:rPr>
          <w:rFonts w:ascii="Times New Roman" w:hAnsi="Times New Roman" w:cs="Times New Roman"/>
          <w:noProof/>
        </w:rPr>
        <w:t xml:space="preserve"> New Delhi: Kalyani Publishers.</w:t>
      </w:r>
    </w:p>
    <w:p w:rsidR="00450514" w:rsidRPr="00450514" w:rsidRDefault="00450514" w:rsidP="00450514">
      <w:pPr>
        <w:pStyle w:val="Bibliography"/>
        <w:numPr>
          <w:ilvl w:val="0"/>
          <w:numId w:val="8"/>
        </w:numPr>
        <w:rPr>
          <w:rFonts w:ascii="Times New Roman" w:hAnsi="Times New Roman" w:cs="Times New Roman"/>
          <w:noProof/>
        </w:rPr>
      </w:pPr>
      <w:r w:rsidRPr="00450514">
        <w:rPr>
          <w:rFonts w:ascii="Times New Roman" w:hAnsi="Times New Roman" w:cs="Times New Roman"/>
          <w:noProof/>
        </w:rPr>
        <w:t xml:space="preserve">Mukherjee, A., &amp; Hanif, M. (2002). </w:t>
      </w:r>
      <w:r w:rsidRPr="00450514">
        <w:rPr>
          <w:rFonts w:ascii="Times New Roman" w:hAnsi="Times New Roman" w:cs="Times New Roman"/>
          <w:i/>
          <w:iCs/>
          <w:noProof/>
        </w:rPr>
        <w:t>Modern Accountancy</w:t>
      </w:r>
      <w:r w:rsidRPr="00450514">
        <w:rPr>
          <w:rFonts w:ascii="Times New Roman" w:hAnsi="Times New Roman" w:cs="Times New Roman"/>
          <w:noProof/>
        </w:rPr>
        <w:t xml:space="preserve"> (Vol. II). New Delhi: Tata McGraw Hill.</w:t>
      </w:r>
    </w:p>
    <w:p w:rsidR="00450514" w:rsidRPr="00450514" w:rsidRDefault="00450514" w:rsidP="00450514">
      <w:pPr>
        <w:pStyle w:val="Bibliography"/>
        <w:numPr>
          <w:ilvl w:val="0"/>
          <w:numId w:val="8"/>
        </w:numPr>
        <w:rPr>
          <w:rFonts w:ascii="Times New Roman" w:hAnsi="Times New Roman" w:cs="Times New Roman"/>
          <w:noProof/>
        </w:rPr>
      </w:pPr>
      <w:r w:rsidRPr="00450514">
        <w:rPr>
          <w:rFonts w:ascii="Times New Roman" w:hAnsi="Times New Roman" w:cs="Times New Roman"/>
          <w:noProof/>
        </w:rPr>
        <w:t xml:space="preserve">Raman, A. </w:t>
      </w:r>
      <w:r w:rsidRPr="00450514">
        <w:rPr>
          <w:rFonts w:ascii="Times New Roman" w:hAnsi="Times New Roman" w:cs="Times New Roman"/>
          <w:i/>
          <w:iCs/>
          <w:noProof/>
        </w:rPr>
        <w:t>Advanced Accountancy.</w:t>
      </w:r>
      <w:r w:rsidRPr="00450514">
        <w:rPr>
          <w:rFonts w:ascii="Times New Roman" w:hAnsi="Times New Roman" w:cs="Times New Roman"/>
          <w:noProof/>
        </w:rPr>
        <w:t xml:space="preserve"> New Delhi: Himalaya Publishing House.</w:t>
      </w:r>
    </w:p>
    <w:p w:rsidR="00450514" w:rsidRPr="00450514" w:rsidRDefault="00450514" w:rsidP="00450514">
      <w:pPr>
        <w:pStyle w:val="Bibliography"/>
        <w:numPr>
          <w:ilvl w:val="0"/>
          <w:numId w:val="8"/>
        </w:numPr>
        <w:rPr>
          <w:rFonts w:ascii="Times New Roman" w:hAnsi="Times New Roman" w:cs="Times New Roman"/>
          <w:noProof/>
        </w:rPr>
      </w:pPr>
      <w:r w:rsidRPr="00450514">
        <w:rPr>
          <w:rFonts w:ascii="Times New Roman" w:hAnsi="Times New Roman" w:cs="Times New Roman"/>
          <w:noProof/>
        </w:rPr>
        <w:t xml:space="preserve">Shukla, M. C., &amp; Grewal, T. S. </w:t>
      </w:r>
      <w:r w:rsidRPr="00450514">
        <w:rPr>
          <w:rFonts w:ascii="Times New Roman" w:hAnsi="Times New Roman" w:cs="Times New Roman"/>
          <w:i/>
          <w:iCs/>
          <w:noProof/>
        </w:rPr>
        <w:t>Advanced Accounts.</w:t>
      </w:r>
      <w:r w:rsidRPr="00450514">
        <w:rPr>
          <w:rFonts w:ascii="Times New Roman" w:hAnsi="Times New Roman" w:cs="Times New Roman"/>
          <w:noProof/>
        </w:rPr>
        <w:t xml:space="preserve"> New Delhi: S. Chand &amp; Co .</w:t>
      </w:r>
    </w:p>
    <w:p w:rsidR="00450514" w:rsidRPr="00450514" w:rsidRDefault="00450514" w:rsidP="00450514">
      <w:pPr>
        <w:pStyle w:val="Bibliography"/>
        <w:numPr>
          <w:ilvl w:val="0"/>
          <w:numId w:val="8"/>
        </w:numPr>
        <w:rPr>
          <w:rFonts w:ascii="Times New Roman" w:hAnsi="Times New Roman" w:cs="Times New Roman"/>
          <w:noProof/>
        </w:rPr>
      </w:pPr>
      <w:r w:rsidRPr="00450514">
        <w:rPr>
          <w:rFonts w:ascii="Times New Roman" w:hAnsi="Times New Roman" w:cs="Times New Roman"/>
          <w:noProof/>
        </w:rPr>
        <w:t xml:space="preserve">Tulsian, P. C. </w:t>
      </w:r>
      <w:r w:rsidRPr="00450514">
        <w:rPr>
          <w:rFonts w:ascii="Times New Roman" w:hAnsi="Times New Roman" w:cs="Times New Roman"/>
          <w:i/>
          <w:iCs/>
          <w:noProof/>
        </w:rPr>
        <w:t>Accountancy.</w:t>
      </w:r>
      <w:r w:rsidRPr="00450514">
        <w:rPr>
          <w:rFonts w:ascii="Times New Roman" w:hAnsi="Times New Roman" w:cs="Times New Roman"/>
          <w:noProof/>
        </w:rPr>
        <w:t xml:space="preserve"> New Delhi: S. Chand &amp; Co.</w:t>
      </w:r>
    </w:p>
    <w:p w:rsidR="00450514" w:rsidRPr="00450514" w:rsidRDefault="00450514" w:rsidP="00450514">
      <w:pPr>
        <w:pStyle w:val="Bibliography"/>
        <w:numPr>
          <w:ilvl w:val="0"/>
          <w:numId w:val="8"/>
        </w:numPr>
        <w:rPr>
          <w:rFonts w:ascii="Times New Roman" w:hAnsi="Times New Roman" w:cs="Times New Roman"/>
          <w:noProof/>
        </w:rPr>
      </w:pPr>
      <w:r w:rsidRPr="00450514">
        <w:rPr>
          <w:rFonts w:ascii="Times New Roman" w:hAnsi="Times New Roman" w:cs="Times New Roman"/>
          <w:noProof/>
        </w:rPr>
        <w:t xml:space="preserve">Vinayakam, N., &amp; Charumati, B. </w:t>
      </w:r>
      <w:r w:rsidRPr="00450514">
        <w:rPr>
          <w:rFonts w:ascii="Times New Roman" w:hAnsi="Times New Roman" w:cs="Times New Roman"/>
          <w:i/>
          <w:iCs/>
          <w:noProof/>
        </w:rPr>
        <w:t>Financial Accounting.</w:t>
      </w:r>
      <w:r w:rsidRPr="00450514">
        <w:rPr>
          <w:rFonts w:ascii="Times New Roman" w:hAnsi="Times New Roman" w:cs="Times New Roman"/>
          <w:noProof/>
        </w:rPr>
        <w:t xml:space="preserve"> New Delhi: S. Chand.</w:t>
      </w:r>
    </w:p>
    <w:p w:rsidR="001502DB" w:rsidRDefault="00205461" w:rsidP="00450514">
      <w:pPr>
        <w:jc w:val="both"/>
        <w:rPr>
          <w:rFonts w:ascii="Times New Roman" w:hAnsi="Times New Roman"/>
          <w:szCs w:val="24"/>
        </w:rPr>
      </w:pPr>
      <w:r w:rsidRPr="00450514">
        <w:rPr>
          <w:rFonts w:ascii="Times New Roman" w:hAnsi="Times New Roman" w:cs="Times New Roman"/>
          <w:szCs w:val="24"/>
        </w:rPr>
        <w:fldChar w:fldCharType="end"/>
      </w:r>
    </w:p>
    <w:p w:rsidR="001502DB" w:rsidRDefault="001502DB" w:rsidP="00787CC3">
      <w:pPr>
        <w:jc w:val="both"/>
        <w:rPr>
          <w:rFonts w:ascii="Times New Roman" w:hAnsi="Times New Roman"/>
          <w:szCs w:val="24"/>
        </w:rPr>
      </w:pPr>
    </w:p>
    <w:p w:rsidR="001502DB" w:rsidRPr="00F6184F" w:rsidRDefault="00F6184F" w:rsidP="00787CC3">
      <w:pPr>
        <w:jc w:val="both"/>
        <w:rPr>
          <w:rFonts w:ascii="Times New Roman" w:hAnsi="Times New Roman"/>
          <w:b/>
          <w:szCs w:val="24"/>
          <w:u w:val="single"/>
        </w:rPr>
      </w:pPr>
      <w:r w:rsidRPr="00F6184F">
        <w:rPr>
          <w:rFonts w:ascii="Times New Roman" w:hAnsi="Times New Roman"/>
          <w:b/>
          <w:szCs w:val="24"/>
          <w:u w:val="single"/>
        </w:rPr>
        <w:t xml:space="preserve">Guidelines for </w:t>
      </w:r>
      <w:r w:rsidR="001502DB" w:rsidRPr="00F6184F">
        <w:rPr>
          <w:rFonts w:ascii="Times New Roman" w:hAnsi="Times New Roman"/>
          <w:b/>
          <w:szCs w:val="24"/>
          <w:u w:val="single"/>
        </w:rPr>
        <w:t>Question Paper</w:t>
      </w:r>
    </w:p>
    <w:p w:rsidR="001502DB" w:rsidRDefault="001502DB" w:rsidP="00787CC3">
      <w:pPr>
        <w:jc w:val="both"/>
        <w:rPr>
          <w:rFonts w:ascii="Times New Roman" w:hAnsi="Times New Roman"/>
          <w:szCs w:val="24"/>
        </w:rPr>
      </w:pPr>
    </w:p>
    <w:p w:rsidR="001502DB" w:rsidRPr="00F6184F" w:rsidRDefault="001502DB" w:rsidP="00787CC3">
      <w:pPr>
        <w:pStyle w:val="ListParagraph"/>
        <w:numPr>
          <w:ilvl w:val="0"/>
          <w:numId w:val="6"/>
        </w:numPr>
        <w:jc w:val="both"/>
        <w:rPr>
          <w:rFonts w:ascii="Times New Roman" w:hAnsi="Times New Roman"/>
          <w:szCs w:val="24"/>
        </w:rPr>
      </w:pPr>
      <w:r w:rsidRPr="00F6184F">
        <w:rPr>
          <w:rFonts w:ascii="Times New Roman" w:hAnsi="Times New Roman"/>
          <w:szCs w:val="24"/>
        </w:rPr>
        <w:t>One question each from Unit I, Unit II, Unit III and Unit IV</w:t>
      </w:r>
      <w:r w:rsidR="00FB47DA">
        <w:rPr>
          <w:rFonts w:ascii="Times New Roman" w:hAnsi="Times New Roman"/>
          <w:szCs w:val="24"/>
        </w:rPr>
        <w:t>.</w:t>
      </w:r>
    </w:p>
    <w:p w:rsidR="001502DB" w:rsidRPr="00F6184F" w:rsidRDefault="001502DB" w:rsidP="00787CC3">
      <w:pPr>
        <w:pStyle w:val="ListParagraph"/>
        <w:numPr>
          <w:ilvl w:val="0"/>
          <w:numId w:val="6"/>
        </w:numPr>
        <w:jc w:val="both"/>
        <w:rPr>
          <w:rFonts w:ascii="Times New Roman" w:hAnsi="Times New Roman"/>
          <w:szCs w:val="24"/>
        </w:rPr>
      </w:pPr>
      <w:r w:rsidRPr="00F6184F">
        <w:rPr>
          <w:rFonts w:ascii="Times New Roman" w:hAnsi="Times New Roman"/>
          <w:szCs w:val="24"/>
        </w:rPr>
        <w:t xml:space="preserve">One additional question from Unit </w:t>
      </w:r>
      <w:r w:rsidR="00FB47DA">
        <w:rPr>
          <w:rFonts w:ascii="Times New Roman" w:hAnsi="Times New Roman"/>
          <w:szCs w:val="24"/>
        </w:rPr>
        <w:t xml:space="preserve">II and Unit </w:t>
      </w:r>
      <w:r w:rsidRPr="00F6184F">
        <w:rPr>
          <w:rFonts w:ascii="Times New Roman" w:hAnsi="Times New Roman"/>
          <w:szCs w:val="24"/>
        </w:rPr>
        <w:t>III</w:t>
      </w:r>
      <w:r w:rsidR="00FB47DA">
        <w:rPr>
          <w:rFonts w:ascii="Times New Roman" w:hAnsi="Times New Roman"/>
          <w:szCs w:val="24"/>
        </w:rPr>
        <w:t xml:space="preserve"> each.</w:t>
      </w:r>
    </w:p>
    <w:sectPr w:rsidR="001502DB" w:rsidRPr="00F6184F" w:rsidSect="00F4090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auto"/>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52941"/>
    <w:multiLevelType w:val="hybridMultilevel"/>
    <w:tmpl w:val="AC42CA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19075157"/>
    <w:multiLevelType w:val="hybridMultilevel"/>
    <w:tmpl w:val="3BBCF0AE"/>
    <w:lvl w:ilvl="0" w:tplc="8A961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242D9"/>
    <w:multiLevelType w:val="hybridMultilevel"/>
    <w:tmpl w:val="8CF86C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4C38AD"/>
    <w:multiLevelType w:val="hybridMultilevel"/>
    <w:tmpl w:val="0C487D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41E70357"/>
    <w:multiLevelType w:val="hybridMultilevel"/>
    <w:tmpl w:val="BDAC2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925E58"/>
    <w:multiLevelType w:val="hybridMultilevel"/>
    <w:tmpl w:val="61961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791E58FF"/>
    <w:multiLevelType w:val="hybridMultilevel"/>
    <w:tmpl w:val="058E67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093D9B"/>
    <w:multiLevelType w:val="hybridMultilevel"/>
    <w:tmpl w:val="41D84B62"/>
    <w:lvl w:ilvl="0" w:tplc="C98EDB94">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563259"/>
    <w:rsid w:val="000010A5"/>
    <w:rsid w:val="000143C5"/>
    <w:rsid w:val="00054755"/>
    <w:rsid w:val="00060615"/>
    <w:rsid w:val="000A3E23"/>
    <w:rsid w:val="000A6B27"/>
    <w:rsid w:val="000C6A94"/>
    <w:rsid w:val="000D38C8"/>
    <w:rsid w:val="000E1661"/>
    <w:rsid w:val="000E36FD"/>
    <w:rsid w:val="00102368"/>
    <w:rsid w:val="001070AC"/>
    <w:rsid w:val="001207FE"/>
    <w:rsid w:val="00126030"/>
    <w:rsid w:val="0014630F"/>
    <w:rsid w:val="00146D90"/>
    <w:rsid w:val="001502DB"/>
    <w:rsid w:val="001529B7"/>
    <w:rsid w:val="00165BB5"/>
    <w:rsid w:val="0017170D"/>
    <w:rsid w:val="0019585F"/>
    <w:rsid w:val="001B2898"/>
    <w:rsid w:val="001C1796"/>
    <w:rsid w:val="001D1C49"/>
    <w:rsid w:val="001F794C"/>
    <w:rsid w:val="0020418F"/>
    <w:rsid w:val="00205461"/>
    <w:rsid w:val="0024131F"/>
    <w:rsid w:val="002525DA"/>
    <w:rsid w:val="0025401D"/>
    <w:rsid w:val="00254D2C"/>
    <w:rsid w:val="002718AC"/>
    <w:rsid w:val="002758DE"/>
    <w:rsid w:val="002808DD"/>
    <w:rsid w:val="00284707"/>
    <w:rsid w:val="002B3309"/>
    <w:rsid w:val="002C1179"/>
    <w:rsid w:val="002C438A"/>
    <w:rsid w:val="002D4F4B"/>
    <w:rsid w:val="002D7D09"/>
    <w:rsid w:val="00317C09"/>
    <w:rsid w:val="00327A0C"/>
    <w:rsid w:val="003360B6"/>
    <w:rsid w:val="0039104B"/>
    <w:rsid w:val="00392883"/>
    <w:rsid w:val="003B6A0A"/>
    <w:rsid w:val="003B6E1C"/>
    <w:rsid w:val="003F3992"/>
    <w:rsid w:val="003F5B38"/>
    <w:rsid w:val="0040428F"/>
    <w:rsid w:val="00416B5A"/>
    <w:rsid w:val="00417919"/>
    <w:rsid w:val="004203DD"/>
    <w:rsid w:val="0042561E"/>
    <w:rsid w:val="004410E6"/>
    <w:rsid w:val="00450514"/>
    <w:rsid w:val="00450A7B"/>
    <w:rsid w:val="0045618B"/>
    <w:rsid w:val="004F06B6"/>
    <w:rsid w:val="004F1E52"/>
    <w:rsid w:val="0050403D"/>
    <w:rsid w:val="0051307D"/>
    <w:rsid w:val="0053059D"/>
    <w:rsid w:val="00563259"/>
    <w:rsid w:val="00567C66"/>
    <w:rsid w:val="0057650A"/>
    <w:rsid w:val="00576B00"/>
    <w:rsid w:val="005C017B"/>
    <w:rsid w:val="00616B26"/>
    <w:rsid w:val="00621AD9"/>
    <w:rsid w:val="006712B5"/>
    <w:rsid w:val="00677589"/>
    <w:rsid w:val="00693F20"/>
    <w:rsid w:val="006A1AE9"/>
    <w:rsid w:val="006A2E6B"/>
    <w:rsid w:val="006B17D0"/>
    <w:rsid w:val="006C2AB0"/>
    <w:rsid w:val="00703DA2"/>
    <w:rsid w:val="00722BEE"/>
    <w:rsid w:val="00732576"/>
    <w:rsid w:val="007553A3"/>
    <w:rsid w:val="00757491"/>
    <w:rsid w:val="007828C6"/>
    <w:rsid w:val="00787CC3"/>
    <w:rsid w:val="007971E8"/>
    <w:rsid w:val="007C09C4"/>
    <w:rsid w:val="007C1080"/>
    <w:rsid w:val="007C3CDB"/>
    <w:rsid w:val="007D1CCF"/>
    <w:rsid w:val="007E221F"/>
    <w:rsid w:val="008106EC"/>
    <w:rsid w:val="00817850"/>
    <w:rsid w:val="00851B1B"/>
    <w:rsid w:val="008803F8"/>
    <w:rsid w:val="00893C81"/>
    <w:rsid w:val="008A55B5"/>
    <w:rsid w:val="008B1C7E"/>
    <w:rsid w:val="008B6070"/>
    <w:rsid w:val="008B71DF"/>
    <w:rsid w:val="008F3B52"/>
    <w:rsid w:val="00911A6B"/>
    <w:rsid w:val="00912CFE"/>
    <w:rsid w:val="00940EF8"/>
    <w:rsid w:val="00964A49"/>
    <w:rsid w:val="00967804"/>
    <w:rsid w:val="00975F82"/>
    <w:rsid w:val="0098563C"/>
    <w:rsid w:val="009873C7"/>
    <w:rsid w:val="00992BB5"/>
    <w:rsid w:val="009B44AE"/>
    <w:rsid w:val="009B5A2A"/>
    <w:rsid w:val="00A2192A"/>
    <w:rsid w:val="00A82D7E"/>
    <w:rsid w:val="00A92B19"/>
    <w:rsid w:val="00A9455A"/>
    <w:rsid w:val="00AB3E24"/>
    <w:rsid w:val="00AD4DD0"/>
    <w:rsid w:val="00B21879"/>
    <w:rsid w:val="00B34418"/>
    <w:rsid w:val="00BB1A48"/>
    <w:rsid w:val="00BD63B5"/>
    <w:rsid w:val="00BE21B5"/>
    <w:rsid w:val="00C26ECC"/>
    <w:rsid w:val="00C37A13"/>
    <w:rsid w:val="00C52C8A"/>
    <w:rsid w:val="00C61534"/>
    <w:rsid w:val="00C631DE"/>
    <w:rsid w:val="00C64ADF"/>
    <w:rsid w:val="00CB1C4D"/>
    <w:rsid w:val="00D125EC"/>
    <w:rsid w:val="00D27AD1"/>
    <w:rsid w:val="00D54E3D"/>
    <w:rsid w:val="00D62B29"/>
    <w:rsid w:val="00DB6E93"/>
    <w:rsid w:val="00E035A3"/>
    <w:rsid w:val="00E130EF"/>
    <w:rsid w:val="00E139FD"/>
    <w:rsid w:val="00E22C83"/>
    <w:rsid w:val="00E31D31"/>
    <w:rsid w:val="00E406BA"/>
    <w:rsid w:val="00E46F27"/>
    <w:rsid w:val="00E47586"/>
    <w:rsid w:val="00E57775"/>
    <w:rsid w:val="00E65BD7"/>
    <w:rsid w:val="00E83C56"/>
    <w:rsid w:val="00EA6C26"/>
    <w:rsid w:val="00EE1103"/>
    <w:rsid w:val="00EE6707"/>
    <w:rsid w:val="00F007B3"/>
    <w:rsid w:val="00F01ACA"/>
    <w:rsid w:val="00F0641D"/>
    <w:rsid w:val="00F131D9"/>
    <w:rsid w:val="00F143F9"/>
    <w:rsid w:val="00F32197"/>
    <w:rsid w:val="00F3560B"/>
    <w:rsid w:val="00F40904"/>
    <w:rsid w:val="00F56B8A"/>
    <w:rsid w:val="00F6184F"/>
    <w:rsid w:val="00F704DC"/>
    <w:rsid w:val="00F732F7"/>
    <w:rsid w:val="00F80361"/>
    <w:rsid w:val="00FA7826"/>
    <w:rsid w:val="00FB47DA"/>
    <w:rsid w:val="00FC2FE5"/>
    <w:rsid w:val="00FE4CC9"/>
    <w:rsid w:val="00FF52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1"/>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0904"/>
    <w:rPr>
      <w:rFonts w:cs="Mang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1A48"/>
    <w:pPr>
      <w:ind w:left="720"/>
      <w:contextualSpacing/>
    </w:pPr>
  </w:style>
  <w:style w:type="paragraph" w:customStyle="1" w:styleId="Default">
    <w:name w:val="Default"/>
    <w:rsid w:val="00BD63B5"/>
    <w:pPr>
      <w:autoSpaceDE w:val="0"/>
      <w:autoSpaceDN w:val="0"/>
      <w:adjustRightInd w:val="0"/>
    </w:pPr>
    <w:rPr>
      <w:rFonts w:ascii="Arial" w:hAnsi="Arial" w:cs="Arial"/>
      <w:color w:val="000000"/>
      <w:szCs w:val="24"/>
      <w:lang w:val="en-IN" w:bidi="ar-SA"/>
    </w:rPr>
  </w:style>
  <w:style w:type="paragraph" w:styleId="Bibliography">
    <w:name w:val="Bibliography"/>
    <w:basedOn w:val="Normal"/>
    <w:next w:val="Normal"/>
    <w:uiPriority w:val="37"/>
    <w:unhideWhenUsed/>
    <w:rsid w:val="00450514"/>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Vin</b:Tag>
    <b:SourceType>Book</b:SourceType>
    <b:Guid>{3AD8A4C3-A328-463F-B721-9B666AD73827}</b:Guid>
    <b:LCID>0</b:LCID>
    <b:Author>
      <b:Author>
        <b:NameList>
          <b:Person>
            <b:Last>Vinayakam</b:Last>
            <b:First>N.</b:First>
          </b:Person>
          <b:Person>
            <b:Last>Charumati</b:Last>
            <b:First>B.</b:First>
          </b:Person>
        </b:NameList>
      </b:Author>
    </b:Author>
    <b:Title>Financial Accounting</b:Title>
    <b:City>New Delhi</b:City>
    <b:Publisher>S. Chand</b:Publisher>
    <b:RefOrder>1</b:RefOrder>
  </b:Source>
  <b:Source>
    <b:Tag>Ram</b:Tag>
    <b:SourceType>Book</b:SourceType>
    <b:Guid>{553CFB6A-A350-48EE-ABAA-3935E565877C}</b:Guid>
    <b:LCID>0</b:LCID>
    <b:Author>
      <b:Author>
        <b:NameList>
          <b:Person>
            <b:Last>Raman</b:Last>
            <b:First>Arunlanandam</b:First>
          </b:Person>
        </b:NameList>
      </b:Author>
    </b:Author>
    <b:Title>Advanced Accountancy</b:Title>
    <b:City>New Delhi</b:City>
    <b:Publisher>Himalaya Publishing House</b:Publisher>
    <b:RefOrder>2</b:RefOrder>
  </b:Source>
  <b:Source>
    <b:Tag>Muk97</b:Tag>
    <b:SourceType>Book</b:SourceType>
    <b:Guid>{8A7EEE84-1EDA-4E7D-B00C-A5002AE7A4C3}</b:Guid>
    <b:LCID>0</b:LCID>
    <b:Author>
      <b:Author>
        <b:NameList>
          <b:Person>
            <b:Last>Mukherjee</b:Last>
            <b:First>A.</b:First>
          </b:Person>
          <b:Person>
            <b:Last>Hanif</b:Last>
            <b:First>M.</b:First>
          </b:Person>
        </b:NameList>
      </b:Author>
    </b:Author>
    <b:Title>Modern Accountancy</b:Title>
    <b:Year>2002</b:Year>
    <b:City>New Delhi</b:City>
    <b:Publisher>Tata McGraw Hill</b:Publisher>
    <b:Volume>II</b:Volume>
    <b:RefOrder>3</b:RefOrder>
  </b:Source>
  <b:Source>
    <b:Tag>Tul</b:Tag>
    <b:SourceType>Book</b:SourceType>
    <b:Guid>{DE4572D8-7200-4FC8-9612-E712547A8C15}</b:Guid>
    <b:LCID>0</b:LCID>
    <b:Author>
      <b:Author>
        <b:NameList>
          <b:Person>
            <b:Last>Tulsian</b:Last>
            <b:First>P.</b:First>
            <b:Middle>C.</b:Middle>
          </b:Person>
        </b:NameList>
      </b:Author>
    </b:Author>
    <b:Title>Accountancy</b:Title>
    <b:City>New Delhi</b:City>
    <b:Publisher>S. Chand &amp; Co.</b:Publisher>
    <b:RefOrder>4</b:RefOrder>
  </b:Source>
  <b:Source>
    <b:Tag>Jai</b:Tag>
    <b:SourceType>Book</b:SourceType>
    <b:Guid>{87EB95C2-AF4D-41A5-955D-D2ACE2A52C04}</b:Guid>
    <b:LCID>0</b:LCID>
    <b:Author>
      <b:Author>
        <b:NameList>
          <b:Person>
            <b:Last>Jain</b:Last>
          </b:Person>
          <b:Person>
            <b:Last>Narang</b:Last>
          </b:Person>
        </b:NameList>
      </b:Author>
    </b:Author>
    <b:Title>Advanced Accountancy</b:Title>
    <b:City>New Delhi</b:City>
    <b:Publisher>Kalyani Publishers</b:Publisher>
    <b:RefOrder>5</b:RefOrder>
  </b:Source>
  <b:Source>
    <b:Tag>Shu</b:Tag>
    <b:SourceType>Book</b:SourceType>
    <b:Guid>{7BB3E9FB-DFCF-4BEC-AE19-07A8938444E0}</b:Guid>
    <b:LCID>0</b:LCID>
    <b:Author>
      <b:Author>
        <b:NameList>
          <b:Person>
            <b:Last>Shukla</b:Last>
            <b:First>M.</b:First>
            <b:Middle>C.</b:Middle>
          </b:Person>
          <b:Person>
            <b:Last>Grewal</b:Last>
            <b:First>T.</b:First>
            <b:Middle>S.</b:Middle>
          </b:Person>
        </b:NameList>
      </b:Author>
    </b:Author>
    <b:Title>Advanced Accounts</b:Title>
    <b:City>New Delhi</b:City>
    <b:Publisher>S. Chand &amp; Co </b:Publisher>
    <b:RefOrder>6</b:RefOrder>
  </b:Source>
</b:Sources>
</file>

<file path=customXml/itemProps1.xml><?xml version="1.0" encoding="utf-8"?>
<ds:datastoreItem xmlns:ds="http://schemas.openxmlformats.org/officeDocument/2006/customXml" ds:itemID="{0B84115A-38FF-47D8-BAD3-D497907B6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2</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Difa Fernandes</dc:creator>
  <cp:lastModifiedBy>Admin</cp:lastModifiedBy>
  <cp:revision>24</cp:revision>
  <dcterms:created xsi:type="dcterms:W3CDTF">2016-02-10T05:34:00Z</dcterms:created>
  <dcterms:modified xsi:type="dcterms:W3CDTF">2017-03-01T00:05:00Z</dcterms:modified>
</cp:coreProperties>
</file>